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6F" w:rsidRPr="00765F6F" w:rsidRDefault="00765F6F" w:rsidP="00765F6F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765F6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Минфин разъяснил, как учитывается выручка от разовой продажи сельхозтехники при расчете права на применение ЕСХН</w:t>
      </w:r>
    </w:p>
    <w:p w:rsidR="00765F6F" w:rsidRPr="00765F6F" w:rsidRDefault="00765F6F" w:rsidP="00765F6F">
      <w:pPr>
        <w:shd w:val="clear" w:color="auto" w:fill="FFFFFF"/>
        <w:spacing w:after="15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5F6F">
        <w:rPr>
          <w:rFonts w:ascii="Times New Roman" w:eastAsia="Times New Roman" w:hAnsi="Times New Roman" w:cs="Times New Roman"/>
          <w:color w:val="333333"/>
          <w:sz w:val="24"/>
          <w:szCs w:val="24"/>
        </w:rPr>
        <w:t>Выручка от разовой продажи сельхозтехники включается в общий объем доходов сельскохозяйственного товаропроизводителя. А это может привести к тому, что сельхозпроизводитель лишится права на применение </w:t>
      </w:r>
      <w:hyperlink r:id="rId4" w:tgtFrame="_blank" w:history="1">
        <w:r w:rsidRPr="00765F6F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ЕСХН</w:t>
        </w:r>
      </w:hyperlink>
      <w:r w:rsidRPr="00765F6F">
        <w:rPr>
          <w:rFonts w:ascii="Times New Roman" w:eastAsia="Times New Roman" w:hAnsi="Times New Roman" w:cs="Times New Roman"/>
          <w:color w:val="333333"/>
          <w:sz w:val="24"/>
          <w:szCs w:val="24"/>
        </w:rPr>
        <w:t>. Такой вывод следует из письма Минфина России </w:t>
      </w:r>
      <w:hyperlink r:id="rId5" w:tgtFrame="_blank" w:history="1">
        <w:r w:rsidRPr="00765F6F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07.04.17 № 03-11-11/20889</w:t>
        </w:r>
      </w:hyperlink>
      <w:r w:rsidRPr="00765F6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65F6F" w:rsidRPr="00765F6F" w:rsidRDefault="00765F6F" w:rsidP="00765F6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5F6F">
        <w:rPr>
          <w:rFonts w:ascii="Times New Roman" w:eastAsia="Times New Roman" w:hAnsi="Times New Roman" w:cs="Times New Roman"/>
          <w:color w:val="333333"/>
          <w:sz w:val="24"/>
          <w:szCs w:val="24"/>
        </w:rPr>
        <w:t>Авторы письма напоминают, что перейти на ЕСХН могут те предприниматели и организации, которые получили статус сельскохозяйственного товаропроизводителя. А таковыми, согласно пункту 2 статьи </w:t>
      </w:r>
      <w:hyperlink r:id="rId6" w:anchor="h8532" w:tgtFrame="_blank" w:history="1">
        <w:r w:rsidRPr="00765F6F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346.2</w:t>
        </w:r>
      </w:hyperlink>
      <w:r w:rsidRPr="00765F6F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РФ, являются налогоплательщики, производящие сельхозпродукцию, осуществляющие ее первичную и последующую переработку. При этом в общем доходе от реализации товаров (работ, услуг) доля дохода от реализации произведенной сельскохозяйственной продукции должна составлять не менее70процентов.</w:t>
      </w:r>
      <w:r w:rsidRPr="00765F6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65F6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 определении объекта налогообложения плательщики ЕСХН учитывают доходы от реализации и </w:t>
      </w:r>
      <w:proofErr w:type="spellStart"/>
      <w:r w:rsidRPr="00765F6F">
        <w:rPr>
          <w:rFonts w:ascii="Times New Roman" w:eastAsia="Times New Roman" w:hAnsi="Times New Roman" w:cs="Times New Roman"/>
          <w:color w:val="333333"/>
          <w:sz w:val="24"/>
          <w:szCs w:val="24"/>
        </w:rPr>
        <w:t>внереализационные</w:t>
      </w:r>
      <w:proofErr w:type="spellEnd"/>
      <w:r w:rsidRPr="00765F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доходы (п. 1 ст. </w:t>
      </w:r>
      <w:hyperlink r:id="rId7" w:anchor="h8572" w:tgtFrame="_blank" w:history="1">
        <w:r w:rsidRPr="00765F6F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346.5</w:t>
        </w:r>
      </w:hyperlink>
      <w:r w:rsidRPr="00765F6F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РФ, п. 1 ст. </w:t>
      </w:r>
      <w:hyperlink r:id="rId8" w:anchor="h6686" w:tgtFrame="_blank" w:history="1">
        <w:r w:rsidRPr="00765F6F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248</w:t>
        </w:r>
      </w:hyperlink>
      <w:r w:rsidRPr="00765F6F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РФ). В статье </w:t>
      </w:r>
      <w:hyperlink r:id="rId9" w:anchor="h6691" w:tgtFrame="_blank" w:history="1">
        <w:r w:rsidRPr="00765F6F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249</w:t>
        </w:r>
      </w:hyperlink>
      <w:r w:rsidRPr="00765F6F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 сказано, что доходом от реализации признается выручка от продажи товаров (работ, услуг) как собственного производства, так и ранее приобретенных, а также выручка от продажи имущественных прав. При этом товаром признается любое реализуемое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65F6F">
        <w:rPr>
          <w:rFonts w:ascii="Times New Roman" w:eastAsia="Times New Roman" w:hAnsi="Times New Roman" w:cs="Times New Roman"/>
          <w:color w:val="333333"/>
          <w:sz w:val="24"/>
          <w:szCs w:val="24"/>
        </w:rPr>
        <w:t>имущество (п. 3 ст. </w:t>
      </w:r>
      <w:hyperlink r:id="rId10" w:anchor="h2989" w:tgtFrame="_blank" w:history="1">
        <w:r w:rsidRPr="00765F6F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38</w:t>
        </w:r>
      </w:hyperlink>
      <w:r w:rsidRPr="00765F6F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РФ).</w:t>
      </w:r>
      <w:r w:rsidRPr="00765F6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65F6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Получается, что выручку от продажи основных средств сельхозпроизводитель должен включить в общий доход. В сумму доходов от реализации произведенной сельскохозяйственной продукции сумма выручки от реализации основных средств не включается. Таким образом, продажа дорогостоящих основных средств, например</w:t>
      </w:r>
      <w:proofErr w:type="gramStart"/>
      <w:r w:rsidRPr="00765F6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765F6F">
        <w:rPr>
          <w:rFonts w:ascii="Times New Roman" w:eastAsia="Times New Roman" w:hAnsi="Times New Roman" w:cs="Times New Roman"/>
          <w:color w:val="333333"/>
          <w:sz w:val="24"/>
          <w:szCs w:val="24"/>
        </w:rPr>
        <w:t>  сельхозтехники, может привести к тому, что будет нарушено упомянутое выше условие о процентном соотношении доходов от реализации сельхозпродукции и общих доходов. Вследствие этого, сельхозпроизводитель может лишиться права на применение ЕСХН.</w:t>
      </w:r>
    </w:p>
    <w:p w:rsidR="007E5FEF" w:rsidRDefault="007E5FEF"/>
    <w:sectPr w:rsidR="007E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F6F"/>
    <w:rsid w:val="00765F6F"/>
    <w:rsid w:val="007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5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F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6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5F6F"/>
  </w:style>
  <w:style w:type="character" w:styleId="a4">
    <w:name w:val="Hyperlink"/>
    <w:basedOn w:val="a0"/>
    <w:uiPriority w:val="99"/>
    <w:semiHidden/>
    <w:unhideWhenUsed/>
    <w:rsid w:val="00765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233&amp;promocode=09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82233&amp;promocode=09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2233&amp;promocode=095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uhonline.ru/Files/Modules/Publication/12230/MINISTERSTVO_FINANSOV_ROSSIJJSKOJJ_FEDERACII.docx?t=1493196721" TargetMode="External"/><Relationship Id="rId10" Type="http://schemas.openxmlformats.org/officeDocument/2006/relationships/hyperlink" Target="https://normativ.kontur.ru/document?moduleId=1&amp;documentId=281948&amp;promocode=0957" TargetMode="External"/><Relationship Id="rId4" Type="http://schemas.openxmlformats.org/officeDocument/2006/relationships/hyperlink" Target="https://www.buhonline.ru/pub/beginner/2011/1/4178" TargetMode="External"/><Relationship Id="rId9" Type="http://schemas.openxmlformats.org/officeDocument/2006/relationships/hyperlink" Target="https://normativ.kontur.ru/document?moduleId=1&amp;documentId=282233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2017-05-11T06:02:00Z</dcterms:created>
  <dcterms:modified xsi:type="dcterms:W3CDTF">2017-05-11T06:04:00Z</dcterms:modified>
</cp:coreProperties>
</file>